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421C02E6"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Ministère de l’Enseignement Supérieur</w:t>
      </w:r>
      <w:r w:rsidR="007B477D">
        <w:rPr>
          <w:rFonts w:ascii="Marianne" w:hAnsi="Marianne" w:cs="Arial"/>
          <w:sz w:val="18"/>
          <w:szCs w:val="18"/>
        </w:rPr>
        <w:t>,</w:t>
      </w:r>
      <w:r w:rsidRPr="00B53925">
        <w:rPr>
          <w:rFonts w:ascii="Marianne" w:hAnsi="Marianne" w:cs="Arial"/>
          <w:sz w:val="18"/>
          <w:szCs w:val="18"/>
        </w:rPr>
        <w:t xml:space="preserve"> de la Recherche</w:t>
      </w:r>
      <w:r w:rsidR="007B477D">
        <w:rPr>
          <w:rFonts w:ascii="Marianne" w:hAnsi="Marianne" w:cs="Arial"/>
          <w:sz w:val="18"/>
          <w:szCs w:val="18"/>
        </w:rPr>
        <w:t xml:space="preserve"> et de l’Espace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43A7F120" w:rsidR="00B53925" w:rsidRPr="00B53925" w:rsidRDefault="0015191B"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CS</w:t>
      </w:r>
      <w:r w:rsidR="00B53925" w:rsidRPr="00B53925">
        <w:rPr>
          <w:rFonts w:ascii="Marianne" w:hAnsi="Marianne" w:cs="Arial"/>
          <w:sz w:val="18"/>
          <w:szCs w:val="18"/>
        </w:rPr>
        <w:t xml:space="preserve"> 50100 </w:t>
      </w:r>
      <w:r w:rsidR="00964319">
        <w:rPr>
          <w:rFonts w:ascii="Marianne" w:hAnsi="Marianne" w:cs="Arial"/>
          <w:sz w:val="18"/>
          <w:szCs w:val="18"/>
        </w:rPr>
        <w:t>–</w:t>
      </w:r>
      <w:r w:rsidR="00B53925" w:rsidRPr="00B53925">
        <w:rPr>
          <w:rFonts w:ascii="Marianne" w:hAnsi="Marianne" w:cs="Arial"/>
          <w:sz w:val="18"/>
          <w:szCs w:val="18"/>
        </w:rPr>
        <w:t xml:space="preserve"> </w:t>
      </w:r>
      <w:r w:rsidR="00964319">
        <w:rPr>
          <w:rFonts w:ascii="Marianne" w:hAnsi="Marianne" w:cs="Arial"/>
          <w:sz w:val="18"/>
          <w:szCs w:val="18"/>
        </w:rPr>
        <w:t>2 boulevard de Strasbourg</w:t>
      </w:r>
      <w:r w:rsidR="00B53925"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7AE7F5C1"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41</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D" w14:textId="3E0C9BAA" w:rsidR="00B53925" w:rsidRPr="00B53925" w:rsidRDefault="00B53925" w:rsidP="00B53925">
      <w:pPr>
        <w:ind w:firstLine="709"/>
        <w:rPr>
          <w:rFonts w:ascii="Marianne" w:hAnsi="Marianne" w:cs="Arial"/>
          <w:b/>
          <w:bCs/>
          <w:sz w:val="18"/>
          <w:szCs w:val="18"/>
        </w:rPr>
      </w:pPr>
      <w:r w:rsidRPr="00B53925">
        <w:rPr>
          <w:rFonts w:ascii="Marianne" w:hAnsi="Marianne" w:cs="Arial"/>
          <w:b/>
          <w:bCs/>
          <w:sz w:val="18"/>
          <w:szCs w:val="18"/>
        </w:rPr>
        <w:t xml:space="preserve">Fourniture de </w:t>
      </w:r>
      <w:r w:rsidR="00A47468">
        <w:rPr>
          <w:rFonts w:ascii="Marianne" w:hAnsi="Marianne" w:cs="Arial"/>
          <w:b/>
          <w:bCs/>
          <w:sz w:val="18"/>
          <w:szCs w:val="18"/>
        </w:rPr>
        <w:t>protections périodiques</w:t>
      </w:r>
      <w:r w:rsidRPr="00B53925">
        <w:rPr>
          <w:rFonts w:ascii="Marianne" w:hAnsi="Marianne" w:cs="Arial"/>
          <w:b/>
          <w:bCs/>
          <w:sz w:val="18"/>
          <w:szCs w:val="18"/>
        </w:rPr>
        <w:t>.</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0E44">
        <w:rPr>
          <w:rFonts w:ascii="Marianne" w:hAnsi="Marianne"/>
        </w:rPr>
      </w:r>
      <w:r w:rsidR="00C40E4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0E44">
        <w:rPr>
          <w:rFonts w:ascii="Marianne" w:hAnsi="Marianne"/>
        </w:rPr>
      </w:r>
      <w:r w:rsidR="00C40E4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w:t>
      </w:r>
      <w:r>
        <w:rPr>
          <w:rFonts w:ascii="Marianne" w:hAnsi="Marianne" w:cs="Arial"/>
          <w:i/>
          <w:iCs/>
          <w:szCs w:val="18"/>
        </w:rPr>
        <w:lastRenderedPageBreak/>
        <w:t>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C40E44">
              <w:rPr>
                <w:rFonts w:ascii="Marianne" w:eastAsia="MS Gothic" w:hAnsi="Marianne" w:cs="Arial"/>
              </w:rPr>
            </w:r>
            <w:r w:rsidR="00C40E44">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C40E44">
              <w:rPr>
                <w:rFonts w:ascii="Marianne" w:eastAsia="MS Gothic" w:hAnsi="Marianne" w:cs="Arial"/>
              </w:rPr>
            </w:r>
            <w:r w:rsidR="00C40E4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C40E44">
              <w:rPr>
                <w:rFonts w:ascii="Marianne" w:eastAsia="MS Gothic" w:hAnsi="Marianne" w:cs="Arial"/>
              </w:rPr>
            </w:r>
            <w:r w:rsidR="00C40E44">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C40E44">
              <w:rPr>
                <w:rFonts w:ascii="Marianne" w:hAnsi="Marianne" w:cs="Arial"/>
              </w:rPr>
            </w:r>
            <w:r w:rsidR="00C40E44">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C40E44">
              <w:rPr>
                <w:rFonts w:ascii="Marianne" w:eastAsia="MS Gothic" w:hAnsi="Marianne" w:cs="Arial"/>
              </w:rPr>
            </w:r>
            <w:r w:rsidR="00C40E44">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0E44">
        <w:rPr>
          <w:rFonts w:ascii="Marianne" w:hAnsi="Marianne"/>
        </w:rPr>
      </w:r>
      <w:r w:rsidR="00C40E4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0E44">
        <w:rPr>
          <w:rFonts w:ascii="Marianne" w:hAnsi="Marianne"/>
        </w:rPr>
      </w:r>
      <w:r w:rsidR="00C40E4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C" w14:textId="4007ABF4"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principales livraisons effectuées au cours des trois dernières années indiquant le montant, la date et le destinataire public ou privé.</w:t>
      </w:r>
    </w:p>
    <w:p w14:paraId="69004C5D" w14:textId="104CD688" w:rsidR="00B53925" w:rsidRPr="00A47468"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ECEE6CF" w14:textId="77777777" w:rsidR="00A47468" w:rsidRPr="00A47468" w:rsidRDefault="00A47468" w:rsidP="00A47468">
      <w:pPr>
        <w:tabs>
          <w:tab w:val="left" w:pos="426"/>
        </w:tabs>
        <w:jc w:val="both"/>
        <w:rPr>
          <w:rFonts w:ascii="Marianne" w:eastAsia="Arial" w:hAnsi="Marianne" w:cs="Arial"/>
          <w:spacing w:val="-10"/>
          <w:sz w:val="18"/>
          <w:szCs w:val="18"/>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562E177B" w:rsidR="00B53925" w:rsidRDefault="00B53925"/>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232D1F0B" w14:textId="77777777" w:rsidR="00A47468" w:rsidRDefault="00A47468">
      <w:pPr>
        <w:suppressAutoHyphens w:val="0"/>
        <w:rPr>
          <w:rFonts w:ascii="Marianne" w:hAnsi="Marianne" w:cs="Arial"/>
          <w:b/>
          <w:bCs/>
          <w:sz w:val="22"/>
          <w:szCs w:val="22"/>
        </w:rPr>
      </w:pPr>
      <w:r>
        <w:rPr>
          <w:rFonts w:ascii="Marianne" w:hAnsi="Marianne" w:cs="Arial"/>
          <w:b/>
          <w:bCs/>
          <w:sz w:val="22"/>
          <w:szCs w:val="22"/>
        </w:rPr>
        <w:br w:type="page"/>
      </w:r>
    </w:p>
    <w:p w14:paraId="69004C77" w14:textId="51541EC4" w:rsidR="00662452" w:rsidRDefault="00662452">
      <w:pPr>
        <w:tabs>
          <w:tab w:val="left" w:pos="576"/>
        </w:tabs>
        <w:jc w:val="both"/>
        <w:rPr>
          <w:rFonts w:ascii="Marianne" w:hAnsi="Marianne" w:cs="Arial"/>
          <w:b/>
          <w:bCs/>
          <w:sz w:val="22"/>
          <w:szCs w:val="22"/>
        </w:rPr>
      </w:pPr>
      <w:r>
        <w:rPr>
          <w:rFonts w:ascii="Marianne" w:hAnsi="Marianne" w:cs="Arial"/>
          <w:b/>
          <w:bCs/>
          <w:sz w:val="22"/>
          <w:szCs w:val="22"/>
        </w:rPr>
        <w:lastRenderedPageBreak/>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proofErr w:type="gramStart"/>
            <w:r>
              <w:rPr>
                <w:rFonts w:ascii="Marianne" w:hAnsi="Marianne" w:cs="Arial"/>
                <w:b/>
              </w:rPr>
              <w:t>du</w:t>
            </w:r>
            <w:proofErr w:type="gramEnd"/>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lastRenderedPageBreak/>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54905E2E" w:rsidR="00662452" w:rsidRDefault="00B53925">
          <w:pPr>
            <w:shd w:val="clear" w:color="auto" w:fill="66CCFF"/>
            <w:snapToGrid w:val="0"/>
            <w:jc w:val="center"/>
            <w:rPr>
              <w:rFonts w:ascii="Marianne" w:hAnsi="Marianne" w:cs="Arial"/>
              <w:b/>
              <w:bCs/>
            </w:rPr>
          </w:pPr>
          <w:r>
            <w:rPr>
              <w:rFonts w:ascii="Marianne" w:hAnsi="Marianne" w:cs="Arial"/>
              <w:b/>
              <w:bCs/>
            </w:rPr>
            <w:t xml:space="preserve">Réf. n° </w:t>
          </w:r>
          <w:r w:rsidR="00C40E44">
            <w:rPr>
              <w:rFonts w:ascii="Marianne" w:hAnsi="Marianne" w:cs="Arial"/>
              <w:b/>
              <w:bCs/>
            </w:rPr>
            <w:t xml:space="preserve">26.H </w:t>
          </w:r>
          <w:r>
            <w:rPr>
              <w:rFonts w:ascii="Marianne" w:hAnsi="Marianne" w:cs="Arial"/>
              <w:b/>
              <w:bCs/>
            </w:rPr>
            <w:t>du</w:t>
          </w:r>
          <w:r w:rsidR="00C40E44">
            <w:rPr>
              <w:rFonts w:ascii="Marianne" w:hAnsi="Marianne" w:cs="Arial"/>
              <w:b/>
              <w:bCs/>
            </w:rPr>
            <w:t xml:space="preserve"> 10/02/2026</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06675838"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C40E44">
            <w:rPr>
              <w:rStyle w:val="Numrodepage"/>
              <w:rFonts w:ascii="Marianne" w:hAnsi="Marianne" w:cs="Arial"/>
              <w:b/>
              <w:noProof/>
            </w:rPr>
            <w:t>9</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1FCF2AE3"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C40E44">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15191B"/>
    <w:rsid w:val="004C7195"/>
    <w:rsid w:val="00662452"/>
    <w:rsid w:val="0078344D"/>
    <w:rsid w:val="007B477D"/>
    <w:rsid w:val="00961A69"/>
    <w:rsid w:val="00964319"/>
    <w:rsid w:val="00A47468"/>
    <w:rsid w:val="00AE125F"/>
    <w:rsid w:val="00B53925"/>
    <w:rsid w:val="00BE31E1"/>
    <w:rsid w:val="00C40E44"/>
    <w:rsid w:val="00DA0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09b52d0a39e3fa4b76d3e710bbbbd958">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29c6f4a0a7494d1d28a4dd218ffd2842"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FA3A9-4E95-4F6D-AC3D-516C4CF5B305}">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dcmitype/"/>
    <ds:schemaRef ds:uri="http://schemas.microsoft.com/office/infopath/2007/PartnerControls"/>
    <ds:schemaRef ds:uri="http://purl.org/dc/terms/"/>
    <ds:schemaRef ds:uri="647f6268-259c-4dc7-a320-542a8850ac07"/>
    <ds:schemaRef ds:uri="3ee6f26a-f689-45e0-a8fd-4ba17b461813"/>
    <ds:schemaRef ds:uri="http://www.w3.org/XML/1998/namespace"/>
  </ds:schemaRefs>
</ds:datastoreItem>
</file>

<file path=customXml/itemProps2.xml><?xml version="1.0" encoding="utf-8"?>
<ds:datastoreItem xmlns:ds="http://schemas.openxmlformats.org/officeDocument/2006/customXml" ds:itemID="{740748BD-7C26-41F2-B141-C9F347413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0E0D76-644E-4AA8-BC78-D61F94807BF7}">
  <ds:schemaRefs>
    <ds:schemaRef ds:uri="http://schemas.microsoft.com/sharepoint/v3/contenttype/forms"/>
  </ds:schemaRefs>
</ds:datastoreItem>
</file>

<file path=customXml/itemProps4.xml><?xml version="1.0" encoding="utf-8"?>
<ds:datastoreItem xmlns:ds="http://schemas.openxmlformats.org/officeDocument/2006/customXml" ds:itemID="{0041637D-A366-480A-96DB-ADE2F5FA3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3728</Words>
  <Characters>20505</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24185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11</cp:revision>
  <cp:lastPrinted>2023-09-26T08:15:00Z</cp:lastPrinted>
  <dcterms:created xsi:type="dcterms:W3CDTF">2023-12-21T16:19:00Z</dcterms:created>
  <dcterms:modified xsi:type="dcterms:W3CDTF">2026-02-10T15:18:00Z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